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923EE" w14:textId="77777777" w:rsidR="00330035" w:rsidRDefault="00330035" w:rsidP="00330035">
      <w:pPr>
        <w:spacing w:line="40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36"/>
          <w:szCs w:val="28"/>
        </w:rPr>
        <w:t>公職人員利益衝突迴避法第14條案例問答</w:t>
      </w:r>
    </w:p>
    <w:p w14:paraId="25244C03" w14:textId="77777777"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40"/>
          <w:szCs w:val="32"/>
        </w:rPr>
      </w:pPr>
      <w:r>
        <w:rPr>
          <w:rFonts w:ascii="標楷體" w:eastAsia="標楷體" w:hAnsi="標楷體" w:hint="eastAsia"/>
          <w:color w:val="000000"/>
          <w:sz w:val="40"/>
          <w:szCs w:val="32"/>
        </w:rPr>
        <w:t>【案例一】</w:t>
      </w:r>
    </w:p>
    <w:p w14:paraId="7C84CDCD" w14:textId="77777777"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甲機關局長</w:t>
      </w:r>
      <w:r>
        <w:rPr>
          <w:rFonts w:ascii="標楷體" w:eastAsia="標楷體" w:hAnsi="標楷體"/>
          <w:color w:val="000000"/>
          <w:sz w:val="28"/>
          <w:szCs w:val="22"/>
        </w:rPr>
        <w:t>A</w:t>
      </w:r>
      <w:r>
        <w:rPr>
          <w:rFonts w:ascii="標楷體" w:eastAsia="標楷體" w:hAnsi="標楷體" w:hint="eastAsia"/>
          <w:color w:val="000000"/>
          <w:sz w:val="28"/>
          <w:szCs w:val="22"/>
        </w:rPr>
        <w:t>之弟弟B擔任乙協會負責人，乙協會向甲機關申請補助時，未主動於申請文件內據實表明身分關係，是否違反公職人員利益衝突迴避法(下稱利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2"/>
        </w:rPr>
        <w:t>衝</w:t>
      </w:r>
      <w:proofErr w:type="gramEnd"/>
      <w:r>
        <w:rPr>
          <w:rFonts w:ascii="標楷體" w:eastAsia="標楷體" w:hAnsi="標楷體" w:hint="eastAsia"/>
          <w:color w:val="000000"/>
          <w:sz w:val="28"/>
          <w:szCs w:val="22"/>
        </w:rPr>
        <w:t>法)第14條第2項規定?是否可以補正?</w:t>
      </w:r>
    </w:p>
    <w:p w14:paraId="0DD832F4" w14:textId="77777777"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【解析】</w:t>
      </w:r>
    </w:p>
    <w:p w14:paraId="3A276952" w14:textId="77777777"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乙協會之負責人為甲機關首長之弟弟，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2"/>
        </w:rPr>
        <w:t>爰</w:t>
      </w:r>
      <w:proofErr w:type="gramEnd"/>
      <w:r>
        <w:rPr>
          <w:rFonts w:ascii="標楷體" w:eastAsia="標楷體" w:hAnsi="標楷體" w:hint="eastAsia"/>
          <w:color w:val="000000"/>
          <w:sz w:val="28"/>
          <w:szCs w:val="22"/>
        </w:rPr>
        <w:t>乙協會依利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2"/>
        </w:rPr>
        <w:t>衝</w:t>
      </w:r>
      <w:proofErr w:type="gramEnd"/>
      <w:r>
        <w:rPr>
          <w:rFonts w:ascii="標楷體" w:eastAsia="標楷體" w:hAnsi="標楷體" w:hint="eastAsia"/>
          <w:color w:val="000000"/>
          <w:sz w:val="28"/>
          <w:szCs w:val="22"/>
        </w:rPr>
        <w:t>法3條第1項第4款規定，為A之關係人，於A擔任首長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2"/>
        </w:rPr>
        <w:t>期間，</w:t>
      </w:r>
      <w:proofErr w:type="gramEnd"/>
      <w:r>
        <w:rPr>
          <w:rFonts w:ascii="標楷體" w:eastAsia="標楷體" w:hAnsi="標楷體" w:hint="eastAsia"/>
          <w:color w:val="000000"/>
          <w:sz w:val="28"/>
          <w:szCs w:val="22"/>
        </w:rPr>
        <w:t>該局雖得於符合利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2"/>
        </w:rPr>
        <w:t>衝</w:t>
      </w:r>
      <w:proofErr w:type="gramEnd"/>
      <w:r>
        <w:rPr>
          <w:rFonts w:ascii="標楷體" w:eastAsia="標楷體" w:hAnsi="標楷體" w:hint="eastAsia"/>
          <w:color w:val="000000"/>
          <w:sz w:val="28"/>
          <w:szCs w:val="22"/>
        </w:rPr>
        <w:t>法第14條第1項但書規定之情形下，與乙協會為補助行為，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2"/>
        </w:rPr>
        <w:t>惟乙協會</w:t>
      </w:r>
      <w:proofErr w:type="gramEnd"/>
      <w:r>
        <w:rPr>
          <w:rFonts w:ascii="標楷體" w:eastAsia="標楷體" w:hAnsi="標楷體" w:hint="eastAsia"/>
          <w:color w:val="000000"/>
          <w:sz w:val="28"/>
          <w:szCs w:val="22"/>
        </w:rPr>
        <w:t>須依同條第2項規定，於申請補助前主動填具「身分關係事前揭露表」。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2"/>
        </w:rPr>
        <w:t>若乙協會</w:t>
      </w:r>
      <w:proofErr w:type="gramEnd"/>
      <w:r>
        <w:rPr>
          <w:rFonts w:ascii="標楷體" w:eastAsia="標楷體" w:hAnsi="標楷體" w:hint="eastAsia"/>
          <w:color w:val="000000"/>
          <w:sz w:val="28"/>
          <w:szCs w:val="22"/>
        </w:rPr>
        <w:t>漏未填具身分關係揭露表，則於甲機關補助核定前，仍允許補助申請人補正身分揭露表，惟若於補助案核定後始表示上開情事者，因屬未能於申請文件內據實表明，已違反利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2"/>
        </w:rPr>
        <w:t>衝</w:t>
      </w:r>
      <w:proofErr w:type="gramEnd"/>
      <w:r>
        <w:rPr>
          <w:rFonts w:ascii="標楷體" w:eastAsia="標楷體" w:hAnsi="標楷體" w:hint="eastAsia"/>
          <w:color w:val="000000"/>
          <w:sz w:val="28"/>
          <w:szCs w:val="22"/>
        </w:rPr>
        <w:t>法第14條第2項規定，此時仍須補行揭露其身分關係，不得因此免除揭露義務，機關仍依其揭露事項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2"/>
        </w:rPr>
        <w:t>併</w:t>
      </w:r>
      <w:proofErr w:type="gramEnd"/>
      <w:r>
        <w:rPr>
          <w:rFonts w:ascii="標楷體" w:eastAsia="標楷體" w:hAnsi="標楷體" w:hint="eastAsia"/>
          <w:color w:val="000000"/>
          <w:sz w:val="28"/>
          <w:szCs w:val="22"/>
        </w:rPr>
        <w:t>同公開。</w:t>
      </w:r>
    </w:p>
    <w:p w14:paraId="15004EDA" w14:textId="77777777"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【參考法令】</w:t>
      </w:r>
    </w:p>
    <w:p w14:paraId="47DDAF6D" w14:textId="77777777"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公職人員利益衝突迴避法第2條、第3條、第6條、第10條、第14條。</w:t>
      </w:r>
    </w:p>
    <w:p w14:paraId="1E9FC536" w14:textId="77777777"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【廉政小叮嚀】</w:t>
      </w:r>
    </w:p>
    <w:p w14:paraId="725D6F92" w14:textId="77777777" w:rsidR="00330035" w:rsidRDefault="00330035" w:rsidP="00330035">
      <w:pPr>
        <w:spacing w:line="400" w:lineRule="exact"/>
        <w:ind w:leftChars="59" w:left="422" w:hangingChars="100" w:hanging="280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1.除須有補助法令依據外，機關團體於開始受理補助案申請前，應依法務部108年11月14日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2"/>
        </w:rPr>
        <w:t>法廉字</w:t>
      </w:r>
      <w:proofErr w:type="gramEnd"/>
      <w:r>
        <w:rPr>
          <w:rFonts w:ascii="標楷體" w:eastAsia="標楷體" w:hAnsi="標楷體" w:hint="eastAsia"/>
          <w:color w:val="000000"/>
          <w:sz w:val="28"/>
          <w:szCs w:val="22"/>
        </w:rPr>
        <w:t>第10800074540號函釋，個案應將「補助項目、申請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2"/>
        </w:rPr>
        <w:t>期間、</w:t>
      </w:r>
      <w:proofErr w:type="gramEnd"/>
      <w:r>
        <w:rPr>
          <w:rFonts w:ascii="標楷體" w:eastAsia="標楷體" w:hAnsi="標楷體" w:hint="eastAsia"/>
          <w:color w:val="000000"/>
          <w:sz w:val="28"/>
          <w:szCs w:val="22"/>
        </w:rPr>
        <w:t>資格條件、審查方式、個別受補助者之補助金額上限、全案預算金額概估」等，以電信網路或其他足以使公眾得知之方式充分公開於本府網站之「補助與利益衝突迴避專區」，使符合資格之不特定對象得以提出申請。</w:t>
      </w:r>
    </w:p>
    <w:p w14:paraId="058E34C5" w14:textId="77777777" w:rsidR="00330035" w:rsidRDefault="00330035" w:rsidP="00330035">
      <w:pPr>
        <w:spacing w:line="400" w:lineRule="exact"/>
        <w:ind w:leftChars="59" w:left="422" w:hangingChars="100" w:hanging="280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2.揭露表</w:t>
      </w:r>
      <w:r>
        <w:rPr>
          <w:rFonts w:ascii="標楷體" w:eastAsia="標楷體" w:hAnsi="標楷體" w:hint="eastAsia"/>
          <w:b/>
          <w:bCs/>
          <w:color w:val="000000"/>
          <w:sz w:val="28"/>
          <w:szCs w:val="22"/>
        </w:rPr>
        <w:t>至遲</w:t>
      </w:r>
      <w:r>
        <w:rPr>
          <w:rFonts w:ascii="標楷體" w:eastAsia="標楷體" w:hAnsi="標楷體" w:hint="eastAsia"/>
          <w:color w:val="000000"/>
          <w:sz w:val="28"/>
          <w:szCs w:val="22"/>
        </w:rPr>
        <w:t>應於補助案</w:t>
      </w:r>
      <w:r>
        <w:rPr>
          <w:rFonts w:ascii="標楷體" w:eastAsia="標楷體" w:hAnsi="標楷體" w:hint="eastAsia"/>
          <w:b/>
          <w:bCs/>
          <w:color w:val="000000"/>
          <w:sz w:val="28"/>
          <w:szCs w:val="22"/>
        </w:rPr>
        <w:t>核定前</w:t>
      </w:r>
      <w:r>
        <w:rPr>
          <w:rFonts w:ascii="標楷體" w:eastAsia="標楷體" w:hAnsi="標楷體" w:hint="eastAsia"/>
          <w:color w:val="000000"/>
          <w:sz w:val="28"/>
          <w:szCs w:val="22"/>
        </w:rPr>
        <w:t>補正，核定後，機關團體應於30日內填寫「身分關係事後公開表」，並將事前揭露及事後公開表內資訊公開於本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2"/>
        </w:rPr>
        <w:t>府官網</w:t>
      </w:r>
      <w:proofErr w:type="gramEnd"/>
      <w:r>
        <w:rPr>
          <w:rFonts w:ascii="標楷體" w:eastAsia="標楷體" w:hAnsi="標楷體" w:hint="eastAsia"/>
          <w:color w:val="000000"/>
          <w:sz w:val="28"/>
          <w:szCs w:val="22"/>
        </w:rPr>
        <w:t>「補助與利益衝突迴避專區」或登錄於監察院建置之「公職人員及關係人補助交易身分關係公開及查詢平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2"/>
        </w:rPr>
        <w:t>臺</w:t>
      </w:r>
      <w:proofErr w:type="gramEnd"/>
      <w:r>
        <w:rPr>
          <w:rFonts w:ascii="標楷體" w:eastAsia="標楷體" w:hAnsi="標楷體" w:hint="eastAsia"/>
          <w:color w:val="000000"/>
          <w:sz w:val="28"/>
          <w:szCs w:val="22"/>
        </w:rPr>
        <w:t>」，以供民眾查詢，避免機關逾時揭露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2"/>
        </w:rPr>
        <w:t>遭致裁罰</w:t>
      </w:r>
      <w:proofErr w:type="gramEnd"/>
      <w:r>
        <w:rPr>
          <w:rFonts w:ascii="標楷體" w:eastAsia="標楷體" w:hAnsi="標楷體" w:hint="eastAsia"/>
          <w:color w:val="000000"/>
          <w:sz w:val="28"/>
          <w:szCs w:val="22"/>
        </w:rPr>
        <w:t>。</w:t>
      </w:r>
    </w:p>
    <w:p w14:paraId="3B8B1F71" w14:textId="77777777" w:rsidR="00330035" w:rsidRDefault="00330035" w:rsidP="00330035">
      <w:pPr>
        <w:spacing w:line="400" w:lineRule="exact"/>
        <w:ind w:leftChars="59" w:left="422" w:hangingChars="100" w:hanging="280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3.案例中即使乙協會符合例外規定並已填具揭露表，局長A於公文簽辦過程中，仍應自行迴避並填寫「自行迴避通知單」，由其職務代理人就其迴避部分代為核定。</w:t>
      </w:r>
    </w:p>
    <w:p w14:paraId="6341FC87" w14:textId="77777777" w:rsidR="00330035" w:rsidRDefault="00330035" w:rsidP="00330035">
      <w:pPr>
        <w:spacing w:line="400" w:lineRule="exact"/>
        <w:ind w:left="283" w:hangingChars="101" w:hanging="283"/>
        <w:jc w:val="both"/>
        <w:rPr>
          <w:rFonts w:ascii="標楷體" w:eastAsia="標楷體" w:hAnsi="標楷體"/>
          <w:color w:val="000000"/>
          <w:sz w:val="28"/>
          <w:szCs w:val="22"/>
        </w:rPr>
      </w:pPr>
    </w:p>
    <w:p w14:paraId="7581B602" w14:textId="77777777" w:rsidR="00330035" w:rsidRDefault="00330035" w:rsidP="00330035">
      <w:pPr>
        <w:spacing w:line="400" w:lineRule="exact"/>
        <w:ind w:left="283" w:hangingChars="101" w:hanging="283"/>
        <w:jc w:val="both"/>
        <w:rPr>
          <w:rFonts w:ascii="標楷體" w:eastAsia="標楷體" w:hAnsi="標楷體"/>
          <w:color w:val="000000"/>
          <w:sz w:val="28"/>
          <w:szCs w:val="22"/>
        </w:rPr>
      </w:pPr>
    </w:p>
    <w:p w14:paraId="0C306B4F" w14:textId="77777777"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40"/>
          <w:szCs w:val="32"/>
        </w:rPr>
      </w:pPr>
      <w:r>
        <w:rPr>
          <w:rFonts w:ascii="標楷體" w:eastAsia="標楷體" w:hAnsi="標楷體" w:hint="eastAsia"/>
          <w:color w:val="000000"/>
          <w:sz w:val="40"/>
          <w:szCs w:val="32"/>
        </w:rPr>
        <w:lastRenderedPageBreak/>
        <w:t>【案例二】</w:t>
      </w:r>
    </w:p>
    <w:p w14:paraId="38915D7D" w14:textId="77777777"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議員A之妹妹B擔任理事長之甲協會，投標乙機關之採購案，未主動於投標文件內據實表明身分關係，是否違反利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2"/>
        </w:rPr>
        <w:t>衝</w:t>
      </w:r>
      <w:proofErr w:type="gramEnd"/>
      <w:r>
        <w:rPr>
          <w:rFonts w:ascii="標楷體" w:eastAsia="標楷體" w:hAnsi="標楷體" w:hint="eastAsia"/>
          <w:color w:val="000000"/>
          <w:sz w:val="28"/>
          <w:szCs w:val="22"/>
        </w:rPr>
        <w:t>法第14條第2項規定?</w:t>
      </w:r>
    </w:p>
    <w:p w14:paraId="3BBC4932" w14:textId="77777777"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【解析】</w:t>
      </w:r>
    </w:p>
    <w:p w14:paraId="4150D343" w14:textId="77777777"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甲協會之理事長為議員A之妹妹，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2"/>
        </w:rPr>
        <w:t>爰</w:t>
      </w:r>
      <w:proofErr w:type="gramEnd"/>
      <w:r>
        <w:rPr>
          <w:rFonts w:ascii="標楷體" w:eastAsia="標楷體" w:hAnsi="標楷體" w:hint="eastAsia"/>
          <w:color w:val="000000"/>
          <w:sz w:val="28"/>
          <w:szCs w:val="22"/>
        </w:rPr>
        <w:t>甲協會依利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2"/>
        </w:rPr>
        <w:t>衝</w:t>
      </w:r>
      <w:proofErr w:type="gramEnd"/>
      <w:r>
        <w:rPr>
          <w:rFonts w:ascii="標楷體" w:eastAsia="標楷體" w:hAnsi="標楷體" w:hint="eastAsia"/>
          <w:color w:val="000000"/>
          <w:sz w:val="28"/>
          <w:szCs w:val="22"/>
        </w:rPr>
        <w:t>法第3條第1項第4款規定，為A之關係人，於A擔任議員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2"/>
        </w:rPr>
        <w:t>期間，</w:t>
      </w:r>
      <w:proofErr w:type="gramEnd"/>
      <w:r>
        <w:rPr>
          <w:rFonts w:ascii="標楷體" w:eastAsia="標楷體" w:hAnsi="標楷體" w:hint="eastAsia"/>
          <w:color w:val="000000"/>
          <w:sz w:val="28"/>
          <w:szCs w:val="22"/>
        </w:rPr>
        <w:t>甲協會雖得於符合利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2"/>
        </w:rPr>
        <w:t>衝</w:t>
      </w:r>
      <w:proofErr w:type="gramEnd"/>
      <w:r>
        <w:rPr>
          <w:rFonts w:ascii="標楷體" w:eastAsia="標楷體" w:hAnsi="標楷體" w:hint="eastAsia"/>
          <w:color w:val="000000"/>
          <w:sz w:val="28"/>
          <w:szCs w:val="22"/>
        </w:rPr>
        <w:t>法第14條第1項但書規定之情形下，與議員服務或受其監督之乙機關為交易行為，惟須依同條第2項規定，於交易行為前主動在投標文件內據實表明身分關係並填具「身分關係事前揭露表」。</w:t>
      </w:r>
    </w:p>
    <w:p w14:paraId="54C591D9" w14:textId="77777777"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【參考法令】</w:t>
      </w:r>
    </w:p>
    <w:p w14:paraId="3A7909E0" w14:textId="77777777"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公職人員利益衝突迴避法第2條、第3條、第14條。</w:t>
      </w:r>
    </w:p>
    <w:p w14:paraId="507C9A42" w14:textId="77777777"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【廉政小叮嚀】</w:t>
      </w:r>
    </w:p>
    <w:p w14:paraId="5736C58B" w14:textId="77777777" w:rsidR="00330035" w:rsidRDefault="00330035" w:rsidP="00330035">
      <w:pPr>
        <w:spacing w:line="400" w:lineRule="exact"/>
        <w:ind w:leftChars="59" w:left="422" w:hangingChars="100" w:hanging="280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1.採購案須為依政府採購法以公告程序或同法第105條辦理之採購。</w:t>
      </w:r>
    </w:p>
    <w:p w14:paraId="6B455117" w14:textId="77777777" w:rsidR="00330035" w:rsidRDefault="00330035" w:rsidP="00330035">
      <w:pPr>
        <w:spacing w:line="400" w:lineRule="exact"/>
        <w:ind w:leftChars="59" w:left="422" w:hangingChars="100" w:hanging="280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2.揭露表至遲應於決標前補正，採購案決標後，機關團體應於30日內填寫「身分關係事後公開表」，並將事前揭露及事後公開表內資訊公開於本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2"/>
        </w:rPr>
        <w:t>府官網</w:t>
      </w:r>
      <w:proofErr w:type="gramEnd"/>
      <w:r>
        <w:rPr>
          <w:rFonts w:ascii="標楷體" w:eastAsia="標楷體" w:hAnsi="標楷體" w:hint="eastAsia"/>
          <w:color w:val="000000"/>
          <w:sz w:val="28"/>
          <w:szCs w:val="22"/>
        </w:rPr>
        <w:t>「補助與利益衝突迴避專區」或登錄於監察院建置之「公職人員及關係人補助交易身分關係公開及查詢平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2"/>
        </w:rPr>
        <w:t>臺</w:t>
      </w:r>
      <w:proofErr w:type="gramEnd"/>
      <w:r>
        <w:rPr>
          <w:rFonts w:ascii="標楷體" w:eastAsia="標楷體" w:hAnsi="標楷體" w:hint="eastAsia"/>
          <w:color w:val="000000"/>
          <w:sz w:val="28"/>
          <w:szCs w:val="22"/>
        </w:rPr>
        <w:t>」，以供民眾查詢，避免機關逾時揭露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2"/>
        </w:rPr>
        <w:t>遭致裁罰</w:t>
      </w:r>
      <w:proofErr w:type="gramEnd"/>
      <w:r>
        <w:rPr>
          <w:rFonts w:ascii="標楷體" w:eastAsia="標楷體" w:hAnsi="標楷體" w:hint="eastAsia"/>
          <w:color w:val="000000"/>
          <w:sz w:val="28"/>
          <w:szCs w:val="22"/>
        </w:rPr>
        <w:t>。</w:t>
      </w:r>
    </w:p>
    <w:p w14:paraId="5D44D943" w14:textId="77777777" w:rsidR="00330035" w:rsidRDefault="00330035" w:rsidP="00330035">
      <w:pPr>
        <w:spacing w:beforeLines="100" w:before="360" w:line="400" w:lineRule="exact"/>
        <w:jc w:val="both"/>
        <w:rPr>
          <w:rFonts w:ascii="標楷體" w:eastAsia="標楷體" w:hAnsi="標楷體"/>
          <w:color w:val="000000"/>
          <w:sz w:val="40"/>
          <w:szCs w:val="32"/>
        </w:rPr>
      </w:pPr>
      <w:r>
        <w:rPr>
          <w:rFonts w:ascii="標楷體" w:eastAsia="標楷體" w:hAnsi="標楷體" w:hint="eastAsia"/>
          <w:color w:val="000000"/>
          <w:sz w:val="40"/>
          <w:szCs w:val="32"/>
        </w:rPr>
        <w:t>【案例三】</w:t>
      </w:r>
    </w:p>
    <w:p w14:paraId="354FCD8F" w14:textId="77777777"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甲機關局長</w:t>
      </w:r>
      <w:r>
        <w:rPr>
          <w:rFonts w:ascii="標楷體" w:eastAsia="標楷體" w:hAnsi="標楷體"/>
          <w:color w:val="000000"/>
          <w:sz w:val="28"/>
          <w:szCs w:val="22"/>
        </w:rPr>
        <w:t>A</w:t>
      </w:r>
      <w:r>
        <w:rPr>
          <w:rFonts w:ascii="標楷體" w:eastAsia="標楷體" w:hAnsi="標楷體" w:hint="eastAsia"/>
          <w:color w:val="000000"/>
          <w:sz w:val="28"/>
          <w:szCs w:val="22"/>
        </w:rPr>
        <w:t>奉市政府指派代表市府擔任乙基金會之董事，乙基金會向甲機關申請補助時應否揭露?</w:t>
      </w:r>
    </w:p>
    <w:p w14:paraId="518DC835" w14:textId="77777777"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【解析】</w:t>
      </w:r>
    </w:p>
    <w:p w14:paraId="47466A40" w14:textId="77777777"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依利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2"/>
        </w:rPr>
        <w:t>衝</w:t>
      </w:r>
      <w:proofErr w:type="gramEnd"/>
      <w:r>
        <w:rPr>
          <w:rFonts w:ascii="標楷體" w:eastAsia="標楷體" w:hAnsi="標楷體" w:hint="eastAsia"/>
          <w:color w:val="000000"/>
          <w:sz w:val="28"/>
          <w:szCs w:val="22"/>
        </w:rPr>
        <w:t>法第3條第1項第4款但書規定「但屬政府或公股指派、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2"/>
        </w:rPr>
        <w:t>遴</w:t>
      </w:r>
      <w:proofErr w:type="gramEnd"/>
      <w:r>
        <w:rPr>
          <w:rFonts w:ascii="標楷體" w:eastAsia="標楷體" w:hAnsi="標楷體" w:hint="eastAsia"/>
          <w:color w:val="000000"/>
          <w:sz w:val="28"/>
          <w:szCs w:val="22"/>
        </w:rPr>
        <w:t>聘代表或由政府聘任者，不包括之。」乙基金會雖由</w:t>
      </w:r>
      <w:r>
        <w:rPr>
          <w:rFonts w:ascii="標楷體" w:eastAsia="標楷體" w:hAnsi="標楷體"/>
          <w:color w:val="000000"/>
          <w:sz w:val="28"/>
          <w:szCs w:val="22"/>
        </w:rPr>
        <w:t>A</w:t>
      </w:r>
      <w:r w:rsidR="009B7EAE">
        <w:rPr>
          <w:rFonts w:ascii="標楷體" w:eastAsia="標楷體" w:hAnsi="標楷體" w:hint="eastAsia"/>
          <w:color w:val="000000"/>
          <w:sz w:val="28"/>
          <w:szCs w:val="22"/>
        </w:rPr>
        <w:t>擔任董事，但</w:t>
      </w:r>
      <w:r>
        <w:rPr>
          <w:rFonts w:ascii="標楷體" w:eastAsia="標楷體" w:hAnsi="標楷體" w:hint="eastAsia"/>
          <w:color w:val="000000"/>
          <w:sz w:val="28"/>
          <w:szCs w:val="22"/>
        </w:rPr>
        <w:t>依規定非屬A之關係人，因而向A所服務機關甲機關申請補助時，無須揭露。</w:t>
      </w:r>
    </w:p>
    <w:p w14:paraId="736700A6" w14:textId="77777777"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【參考法令】</w:t>
      </w:r>
    </w:p>
    <w:p w14:paraId="5190D39E" w14:textId="77777777"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公職人員利益衝突迴避法第3條。</w:t>
      </w:r>
    </w:p>
    <w:p w14:paraId="3C134338" w14:textId="77777777"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【廉政小叮嚀】</w:t>
      </w:r>
    </w:p>
    <w:p w14:paraId="4A06879F" w14:textId="77777777"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利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2"/>
        </w:rPr>
        <w:t>衝</w:t>
      </w:r>
      <w:proofErr w:type="gramEnd"/>
      <w:r>
        <w:rPr>
          <w:rFonts w:ascii="標楷體" w:eastAsia="標楷體" w:hAnsi="標楷體" w:hint="eastAsia"/>
          <w:color w:val="000000"/>
          <w:sz w:val="28"/>
          <w:szCs w:val="22"/>
        </w:rPr>
        <w:t>法修正說明考量代表政府或公股出任者(包含由政府指派之公益董事等係代表政府或公股出任者)，或公法人之董（理）事、監事或首長為公職人員或第一款、第二款所列人員而係由政府機關聘任者，較無不當利益輸送之疑慮，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2"/>
        </w:rPr>
        <w:t>爰</w:t>
      </w:r>
      <w:proofErr w:type="gramEnd"/>
      <w:r>
        <w:rPr>
          <w:rFonts w:ascii="標楷體" w:eastAsia="標楷體" w:hAnsi="標楷體" w:hint="eastAsia"/>
          <w:color w:val="000000"/>
          <w:sz w:val="28"/>
          <w:szCs w:val="22"/>
        </w:rPr>
        <w:t>排除之。</w:t>
      </w:r>
    </w:p>
    <w:p w14:paraId="778DB527" w14:textId="77777777"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40"/>
          <w:szCs w:val="32"/>
        </w:rPr>
      </w:pPr>
      <w:r>
        <w:rPr>
          <w:rFonts w:ascii="標楷體" w:eastAsia="標楷體" w:hAnsi="標楷體" w:hint="eastAsia"/>
          <w:color w:val="000000"/>
          <w:sz w:val="40"/>
          <w:szCs w:val="32"/>
        </w:rPr>
        <w:lastRenderedPageBreak/>
        <w:t>【案例四】</w:t>
      </w:r>
    </w:p>
    <w:p w14:paraId="126B8392" w14:textId="77777777"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議員A之助理B擔任甲協會之負責人，甲協會向乙機關申請補助，則甲協會是否需要揭露?</w:t>
      </w:r>
    </w:p>
    <w:p w14:paraId="41A328D1" w14:textId="77777777"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【解析】</w:t>
      </w:r>
    </w:p>
    <w:p w14:paraId="2B61BD48" w14:textId="77777777"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依利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2"/>
        </w:rPr>
        <w:t>衝</w:t>
      </w:r>
      <w:proofErr w:type="gramEnd"/>
      <w:r>
        <w:rPr>
          <w:rFonts w:ascii="標楷體" w:eastAsia="標楷體" w:hAnsi="標楷體" w:hint="eastAsia"/>
          <w:color w:val="000000"/>
          <w:sz w:val="28"/>
          <w:szCs w:val="22"/>
        </w:rPr>
        <w:t>法第3條第1項第4款規定，公職人員、公職人員之配偶、共同生活之家屬與二親等以內親屬擔任負責人、董事、獨立董事、監察人、經理人或相類似職務之營利事業、非營利之法人及非法人團體為公職人員之關係人，B為議員助理，雖為利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2"/>
        </w:rPr>
        <w:t>衝</w:t>
      </w:r>
      <w:proofErr w:type="gramEnd"/>
      <w:r>
        <w:rPr>
          <w:rFonts w:ascii="標楷體" w:eastAsia="標楷體" w:hAnsi="標楷體" w:hint="eastAsia"/>
          <w:color w:val="000000"/>
          <w:sz w:val="28"/>
          <w:szCs w:val="22"/>
        </w:rPr>
        <w:t>法第3條第1項第6款所定議員之關係人，惟B若非議員配偶、共同生活之家屬與二親等以內親屬，則其所擔任負責人之甲協會非屬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2"/>
        </w:rPr>
        <w:t>前揭所稱</w:t>
      </w:r>
      <w:proofErr w:type="gramEnd"/>
      <w:r>
        <w:rPr>
          <w:rFonts w:ascii="標楷體" w:eastAsia="標楷體" w:hAnsi="標楷體" w:hint="eastAsia"/>
          <w:color w:val="000000"/>
          <w:sz w:val="28"/>
          <w:szCs w:val="22"/>
        </w:rPr>
        <w:t>之關係人，無須揭露身分關係。</w:t>
      </w:r>
    </w:p>
    <w:p w14:paraId="5FA74773" w14:textId="77777777"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【參考法令】</w:t>
      </w:r>
    </w:p>
    <w:p w14:paraId="2F6CEDE1" w14:textId="77777777"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公職人員利益衝突迴避法第2條、第3條、第14條。</w:t>
      </w:r>
    </w:p>
    <w:p w14:paraId="00EEA82F" w14:textId="77777777"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【廉政小叮嚀】</w:t>
      </w:r>
    </w:p>
    <w:p w14:paraId="5EB6C593" w14:textId="77777777"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利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2"/>
        </w:rPr>
        <w:t>衝</w:t>
      </w:r>
      <w:proofErr w:type="gramEnd"/>
      <w:r>
        <w:rPr>
          <w:rFonts w:ascii="標楷體" w:eastAsia="標楷體" w:hAnsi="標楷體" w:hint="eastAsia"/>
          <w:color w:val="000000"/>
          <w:sz w:val="28"/>
          <w:szCs w:val="22"/>
        </w:rPr>
        <w:t>法第3條第1項第6款及第2項規定，所稱各級民意代表之助理指各級民意代表之公費助理、其加入助理工會之助理及其他受其指揮監督之助理，係指民意代表助理本人為關係人，若係本人與機關團體為補助或交易行為方為利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2"/>
        </w:rPr>
        <w:t>衝</w:t>
      </w:r>
      <w:proofErr w:type="gramEnd"/>
      <w:r>
        <w:rPr>
          <w:rFonts w:ascii="標楷體" w:eastAsia="標楷體" w:hAnsi="標楷體" w:hint="eastAsia"/>
          <w:color w:val="000000"/>
          <w:sz w:val="28"/>
          <w:szCs w:val="22"/>
        </w:rPr>
        <w:t>法第14條所禁止之列。</w:t>
      </w:r>
    </w:p>
    <w:p w14:paraId="24C68294" w14:textId="77777777" w:rsidR="00330035" w:rsidRDefault="00330035" w:rsidP="00330035">
      <w:pPr>
        <w:spacing w:beforeLines="100" w:before="360" w:line="400" w:lineRule="exact"/>
        <w:jc w:val="both"/>
        <w:rPr>
          <w:rFonts w:ascii="標楷體" w:eastAsia="標楷體" w:hAnsi="標楷體"/>
          <w:color w:val="000000"/>
          <w:sz w:val="40"/>
          <w:szCs w:val="32"/>
        </w:rPr>
      </w:pPr>
      <w:r>
        <w:rPr>
          <w:rFonts w:ascii="標楷體" w:eastAsia="標楷體" w:hAnsi="標楷體" w:hint="eastAsia"/>
          <w:color w:val="000000"/>
          <w:sz w:val="40"/>
          <w:szCs w:val="32"/>
        </w:rPr>
        <w:t>【案例五】</w:t>
      </w:r>
    </w:p>
    <w:p w14:paraId="6E8C3577" w14:textId="77777777"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甲機關局長A之配偶B擔任乙協會之理事長，乙協會向甲機關申請補助，且據實填寫身分關係揭露表，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2"/>
        </w:rPr>
        <w:t>惟甲機關</w:t>
      </w:r>
      <w:proofErr w:type="gramEnd"/>
      <w:r>
        <w:rPr>
          <w:rFonts w:ascii="標楷體" w:eastAsia="標楷體" w:hAnsi="標楷體" w:hint="eastAsia"/>
          <w:color w:val="000000"/>
          <w:sz w:val="28"/>
          <w:szCs w:val="22"/>
        </w:rPr>
        <w:t>於受理補助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2"/>
        </w:rPr>
        <w:t>申請前漏未</w:t>
      </w:r>
      <w:proofErr w:type="gramEnd"/>
      <w:r>
        <w:rPr>
          <w:rFonts w:ascii="標楷體" w:eastAsia="標楷體" w:hAnsi="標楷體" w:hint="eastAsia"/>
          <w:color w:val="000000"/>
          <w:sz w:val="28"/>
          <w:szCs w:val="22"/>
        </w:rPr>
        <w:t>辦理公告，是否違反利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2"/>
        </w:rPr>
        <w:t>衝</w:t>
      </w:r>
      <w:proofErr w:type="gramEnd"/>
      <w:r>
        <w:rPr>
          <w:rFonts w:ascii="標楷體" w:eastAsia="標楷體" w:hAnsi="標楷體" w:hint="eastAsia"/>
          <w:color w:val="000000"/>
          <w:sz w:val="28"/>
          <w:szCs w:val="22"/>
        </w:rPr>
        <w:t>法第14條第1項規定?</w:t>
      </w:r>
    </w:p>
    <w:p w14:paraId="13EBFDEF" w14:textId="77777777"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【解析】</w:t>
      </w:r>
    </w:p>
    <w:p w14:paraId="5F797C49" w14:textId="77777777"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依利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2"/>
        </w:rPr>
        <w:t>衝</w:t>
      </w:r>
      <w:proofErr w:type="gramEnd"/>
      <w:r>
        <w:rPr>
          <w:rFonts w:ascii="標楷體" w:eastAsia="標楷體" w:hAnsi="標楷體" w:hint="eastAsia"/>
          <w:color w:val="000000"/>
          <w:sz w:val="28"/>
          <w:szCs w:val="22"/>
        </w:rPr>
        <w:t>法第14條第1項第3款規定，甲機關未於受理補助申請前將相關補助資訊充分公開，補助不符合以公開公平方式辦理，係屬違法之補助。</w:t>
      </w:r>
    </w:p>
    <w:p w14:paraId="52A1DAC7" w14:textId="77777777"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【參考法令】</w:t>
      </w:r>
    </w:p>
    <w:p w14:paraId="2652F177" w14:textId="77777777"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公職人員利益衝突迴避法第2條、第3條、第14條。</w:t>
      </w:r>
    </w:p>
    <w:p w14:paraId="57062EA8" w14:textId="77777777"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【廉政小叮嚀】</w:t>
      </w:r>
    </w:p>
    <w:p w14:paraId="2338C75D" w14:textId="77777777" w:rsidR="00330035" w:rsidRDefault="00330035" w:rsidP="00330035">
      <w:pPr>
        <w:spacing w:line="400" w:lineRule="exact"/>
        <w:ind w:leftChars="59" w:left="422" w:hangingChars="100" w:hanging="280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1.如補助或交易行為不符合利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2"/>
        </w:rPr>
        <w:t>衝</w:t>
      </w:r>
      <w:proofErr w:type="gramEnd"/>
      <w:r>
        <w:rPr>
          <w:rFonts w:ascii="標楷體" w:eastAsia="標楷體" w:hAnsi="標楷體" w:hint="eastAsia"/>
          <w:color w:val="000000"/>
          <w:sz w:val="28"/>
          <w:szCs w:val="22"/>
        </w:rPr>
        <w:t>法第14條第1項但書規定情形，即使關係人填寫「身分關係事前揭露表」，仍違反同法第14條交易或補助禁止規定。</w:t>
      </w:r>
    </w:p>
    <w:p w14:paraId="5444F694" w14:textId="77777777" w:rsidR="00165867" w:rsidRPr="00330035" w:rsidRDefault="00330035" w:rsidP="00330035">
      <w:pPr>
        <w:spacing w:line="400" w:lineRule="exact"/>
        <w:ind w:leftChars="59" w:left="422" w:hangingChars="100" w:hanging="280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2.違反利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2"/>
        </w:rPr>
        <w:t>衝</w:t>
      </w:r>
      <w:proofErr w:type="gramEnd"/>
      <w:r>
        <w:rPr>
          <w:rFonts w:ascii="標楷體" w:eastAsia="標楷體" w:hAnsi="標楷體" w:hint="eastAsia"/>
          <w:color w:val="000000"/>
          <w:sz w:val="28"/>
          <w:szCs w:val="22"/>
        </w:rPr>
        <w:t>法之罰鍰額度甚重，未自行迴避處10萬元以上200萬元以下罰鍰；違反交易或補助禁止規定，係依交易或補助金額訂定罰鍰基準。</w:t>
      </w:r>
    </w:p>
    <w:sectPr w:rsidR="00165867" w:rsidRPr="00330035" w:rsidSect="00A740BD">
      <w:footerReference w:type="default" r:id="rId6"/>
      <w:pgSz w:w="11906" w:h="16838"/>
      <w:pgMar w:top="1247" w:right="1418" w:bottom="1247" w:left="1418" w:header="850" w:footer="211" w:gutter="0"/>
      <w:pgNumType w:start="5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641EC" w14:textId="77777777" w:rsidR="00B57BDC" w:rsidRDefault="00B57BDC">
      <w:r>
        <w:separator/>
      </w:r>
    </w:p>
  </w:endnote>
  <w:endnote w:type="continuationSeparator" w:id="0">
    <w:p w14:paraId="43A80DA5" w14:textId="77777777" w:rsidR="00B57BDC" w:rsidRDefault="00B5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FFC1C" w14:textId="77777777" w:rsidR="00E43F89" w:rsidRDefault="0033003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1732E" w:rsidRPr="0051732E">
      <w:rPr>
        <w:noProof/>
        <w:lang w:val="zh-TW"/>
      </w:rPr>
      <w:t>5</w:t>
    </w:r>
    <w:r>
      <w:fldChar w:fldCharType="end"/>
    </w:r>
  </w:p>
  <w:p w14:paraId="25677EC3" w14:textId="77777777" w:rsidR="00E43F89" w:rsidRPr="004228C4" w:rsidRDefault="00B57BDC" w:rsidP="004228C4">
    <w:pPr>
      <w:pStyle w:val="a3"/>
    </w:pPr>
  </w:p>
  <w:p w14:paraId="0E76C859" w14:textId="77777777" w:rsidR="00E3570E" w:rsidRDefault="00B57BDC"/>
  <w:p w14:paraId="7DF0B913" w14:textId="77777777" w:rsidR="00E3570E" w:rsidRDefault="00B57B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7CF84" w14:textId="77777777" w:rsidR="00B57BDC" w:rsidRDefault="00B57BDC">
      <w:r>
        <w:separator/>
      </w:r>
    </w:p>
  </w:footnote>
  <w:footnote w:type="continuationSeparator" w:id="0">
    <w:p w14:paraId="478F0685" w14:textId="77777777" w:rsidR="00B57BDC" w:rsidRDefault="00B57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035"/>
    <w:rsid w:val="001F336C"/>
    <w:rsid w:val="00330035"/>
    <w:rsid w:val="00374A15"/>
    <w:rsid w:val="00464148"/>
    <w:rsid w:val="0051732E"/>
    <w:rsid w:val="005F4CF7"/>
    <w:rsid w:val="00646CE2"/>
    <w:rsid w:val="009B7EAE"/>
    <w:rsid w:val="00B57BDC"/>
    <w:rsid w:val="00BA7B65"/>
    <w:rsid w:val="00D0063E"/>
    <w:rsid w:val="00F9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F7C661"/>
  <w15:chartTrackingRefBased/>
  <w15:docId w15:val="{54DD763F-9729-40D3-B96B-0B0315B6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03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3003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330035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header"/>
    <w:basedOn w:val="a"/>
    <w:link w:val="a6"/>
    <w:rsid w:val="0033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3003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林玟萱</dc:creator>
  <cp:keywords/>
  <dc:description/>
  <cp:lastModifiedBy>User</cp:lastModifiedBy>
  <cp:revision>2</cp:revision>
  <cp:lastPrinted>2023-06-20T03:28:00Z</cp:lastPrinted>
  <dcterms:created xsi:type="dcterms:W3CDTF">2023-07-04T09:00:00Z</dcterms:created>
  <dcterms:modified xsi:type="dcterms:W3CDTF">2023-07-04T09:00:00Z</dcterms:modified>
</cp:coreProperties>
</file>